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22"/>
        <w:gridCol w:w="4536"/>
      </w:tblGrid>
      <w:tr w:rsidR="00622C1D">
        <w:tc>
          <w:tcPr>
            <w:tcW w:w="4786" w:type="dxa"/>
            <w:shd w:val="clear" w:color="auto" w:fill="auto"/>
          </w:tcPr>
          <w:p w:rsidR="00622C1D" w:rsidRDefault="00622C1D">
            <w:pPr>
              <w:pStyle w:val="a5"/>
              <w:tabs>
                <w:tab w:val="left" w:pos="7230"/>
              </w:tabs>
            </w:pPr>
            <w:bookmarkStart w:id="0" w:name="_GoBack"/>
            <w:bookmarkEnd w:id="0"/>
            <w:r>
              <w:rPr>
                <w:b/>
                <w:sz w:val="24"/>
              </w:rPr>
              <w:t xml:space="preserve">МИНИСТЕРСТВО </w:t>
            </w:r>
            <w:r>
              <w:rPr>
                <w:b/>
                <w:caps/>
                <w:sz w:val="24"/>
              </w:rPr>
              <w:t>ПРОСВЕЩЕНИЯ</w:t>
            </w:r>
            <w:r>
              <w:rPr>
                <w:b/>
                <w:caps/>
                <w:sz w:val="24"/>
              </w:rPr>
              <w:br/>
            </w:r>
            <w:r>
              <w:rPr>
                <w:b/>
                <w:sz w:val="24"/>
              </w:rPr>
              <w:t>РОССИЙСКОЙ ФЕДЕРАЦИИ</w:t>
            </w:r>
            <w:r>
              <w:rPr>
                <w:b/>
                <w:sz w:val="24"/>
              </w:rPr>
              <w:br/>
            </w:r>
          </w:p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>(МИНПРОСВЕЩЕНИЯ РОССИИ)</w:t>
            </w:r>
          </w:p>
        </w:tc>
        <w:tc>
          <w:tcPr>
            <w:tcW w:w="722" w:type="dxa"/>
            <w:shd w:val="clear" w:color="auto" w:fill="auto"/>
          </w:tcPr>
          <w:p w:rsidR="00622C1D" w:rsidRDefault="00622C1D">
            <w:pPr>
              <w:tabs>
                <w:tab w:val="left" w:pos="7230"/>
              </w:tabs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 xml:space="preserve">ФЕДЕРАЛЬНАЯ СЛУЖБА </w:t>
            </w:r>
          </w:p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>ПО НАДЗОРУ В СФЕРЕ</w:t>
            </w:r>
          </w:p>
          <w:p w:rsidR="00622C1D" w:rsidRDefault="00622C1D">
            <w:pPr>
              <w:pStyle w:val="a5"/>
              <w:tabs>
                <w:tab w:val="left" w:pos="7230"/>
              </w:tabs>
            </w:pPr>
            <w:r>
              <w:rPr>
                <w:b/>
                <w:sz w:val="24"/>
              </w:rPr>
              <w:t>ОБРАЗОВАНИЯ И НАУКИ</w:t>
            </w:r>
          </w:p>
          <w:p w:rsidR="00622C1D" w:rsidRDefault="00622C1D">
            <w:pPr>
              <w:pStyle w:val="a5"/>
              <w:tabs>
                <w:tab w:val="left" w:pos="7230"/>
              </w:tabs>
              <w:rPr>
                <w:b/>
                <w:sz w:val="24"/>
              </w:rPr>
            </w:pPr>
          </w:p>
          <w:p w:rsidR="00622C1D" w:rsidRDefault="00622C1D">
            <w:pPr>
              <w:tabs>
                <w:tab w:val="left" w:pos="7230"/>
              </w:tabs>
              <w:jc w:val="center"/>
            </w:pPr>
            <w:r>
              <w:rPr>
                <w:b/>
                <w:sz w:val="24"/>
              </w:rPr>
              <w:t>(РОСОБРНАДЗОР)</w:t>
            </w:r>
          </w:p>
        </w:tc>
      </w:tr>
    </w:tbl>
    <w:p w:rsidR="00622C1D" w:rsidRDefault="00622C1D">
      <w:pPr>
        <w:tabs>
          <w:tab w:val="left" w:pos="7230"/>
        </w:tabs>
        <w:jc w:val="both"/>
        <w:rPr>
          <w:sz w:val="28"/>
        </w:rPr>
      </w:pPr>
    </w:p>
    <w:p w:rsidR="00622C1D" w:rsidRDefault="00622C1D">
      <w:pPr>
        <w:pStyle w:val="11"/>
      </w:pPr>
      <w:r>
        <w:rPr>
          <w:b/>
        </w:rPr>
        <w:t xml:space="preserve">П Р И К А З </w:t>
      </w:r>
    </w:p>
    <w:p w:rsidR="00622C1D" w:rsidRDefault="00622C1D">
      <w:pPr>
        <w:spacing w:line="240" w:lineRule="atLeast"/>
        <w:jc w:val="center"/>
        <w:rPr>
          <w:rFonts w:ascii="JournalSans" w:hAnsi="JournalSans" w:cs="JournalSans"/>
          <w:b/>
          <w:sz w:val="16"/>
        </w:rPr>
      </w:pPr>
    </w:p>
    <w:p w:rsidR="00622C1D" w:rsidRDefault="00622C1D">
      <w:pPr>
        <w:tabs>
          <w:tab w:val="left" w:pos="851"/>
          <w:tab w:val="left" w:pos="3119"/>
          <w:tab w:val="left" w:pos="7650"/>
          <w:tab w:val="left" w:pos="9645"/>
        </w:tabs>
        <w:spacing w:line="100" w:lineRule="atLeast"/>
      </w:pPr>
      <w:r>
        <w:rPr>
          <w:sz w:val="28"/>
          <w:szCs w:val="28"/>
          <w:lang w:eastAsia="ar-SA"/>
        </w:rPr>
        <w:t xml:space="preserve"> «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>»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  <w:r w:rsidRPr="008659E2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</w:t>
      </w:r>
      <w:r w:rsidR="0055571D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 xml:space="preserve"> г.</w:t>
      </w:r>
      <w:r>
        <w:rPr>
          <w:sz w:val="28"/>
          <w:szCs w:val="28"/>
          <w:lang w:eastAsia="ar-SA"/>
        </w:rPr>
        <w:tab/>
        <w:t>№</w:t>
      </w:r>
      <w:r w:rsidRPr="008659E2">
        <w:rPr>
          <w:sz w:val="28"/>
          <w:szCs w:val="28"/>
          <w:lang w:eastAsia="ar-SA"/>
        </w:rPr>
        <w:t xml:space="preserve"> 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</w:p>
    <w:p w:rsidR="00622C1D" w:rsidRDefault="00622C1D">
      <w:pPr>
        <w:tabs>
          <w:tab w:val="left" w:pos="1134"/>
        </w:tabs>
        <w:spacing w:line="100" w:lineRule="atLeast"/>
        <w:jc w:val="center"/>
        <w:rPr>
          <w:sz w:val="16"/>
          <w:lang w:eastAsia="ar-SA"/>
        </w:rPr>
      </w:pPr>
    </w:p>
    <w:p w:rsidR="00622C1D" w:rsidRDefault="00622C1D">
      <w:pPr>
        <w:tabs>
          <w:tab w:val="left" w:pos="1276"/>
        </w:tabs>
        <w:spacing w:line="100" w:lineRule="atLeast"/>
        <w:jc w:val="center"/>
      </w:pPr>
      <w:r>
        <w:rPr>
          <w:sz w:val="28"/>
          <w:lang w:eastAsia="ar-SA"/>
        </w:rPr>
        <w:t>Москва</w:t>
      </w:r>
    </w:p>
    <w:p w:rsidR="00622C1D" w:rsidRPr="009D0D61" w:rsidRDefault="00622C1D">
      <w:pPr>
        <w:rPr>
          <w:sz w:val="24"/>
          <w:lang w:eastAsia="ar-SA"/>
        </w:rPr>
      </w:pPr>
    </w:p>
    <w:p w:rsidR="00622C1D" w:rsidRDefault="00622C1D">
      <w:pPr>
        <w:jc w:val="center"/>
      </w:pPr>
      <w:r>
        <w:rPr>
          <w:b/>
          <w:color w:val="000000"/>
          <w:sz w:val="28"/>
          <w:szCs w:val="28"/>
        </w:rPr>
        <w:t>Об особенностях проведения госу</w:t>
      </w:r>
      <w:r w:rsidR="009D0D61">
        <w:rPr>
          <w:b/>
          <w:color w:val="000000"/>
          <w:sz w:val="28"/>
          <w:szCs w:val="28"/>
        </w:rPr>
        <w:t>дарственной итоговой аттестации</w:t>
      </w:r>
    </w:p>
    <w:p w:rsidR="00622C1D" w:rsidRDefault="00622C1D">
      <w:pPr>
        <w:jc w:val="center"/>
      </w:pPr>
      <w:r>
        <w:rPr>
          <w:b/>
          <w:color w:val="000000"/>
          <w:sz w:val="28"/>
          <w:szCs w:val="28"/>
        </w:rPr>
        <w:t>по образовательным программам основного общего образования в 202</w:t>
      </w:r>
      <w:r w:rsidR="0055571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году</w:t>
      </w:r>
    </w:p>
    <w:p w:rsidR="00622C1D" w:rsidRDefault="00622C1D">
      <w:pPr>
        <w:jc w:val="center"/>
        <w:rPr>
          <w:b/>
          <w:color w:val="000000"/>
          <w:sz w:val="22"/>
          <w:szCs w:val="28"/>
        </w:rPr>
      </w:pPr>
    </w:p>
    <w:p w:rsidR="00622C1D" w:rsidRDefault="00622C1D" w:rsidP="00CC6513">
      <w:pPr>
        <w:widowControl w:val="0"/>
        <w:autoSpaceDE w:val="0"/>
        <w:spacing w:line="276" w:lineRule="auto"/>
        <w:ind w:firstLine="709"/>
        <w:jc w:val="both"/>
      </w:pPr>
      <w:r w:rsidRPr="00B56E8E">
        <w:rPr>
          <w:rFonts w:eastAsia="Calibri"/>
          <w:sz w:val="28"/>
          <w:szCs w:val="28"/>
        </w:rPr>
        <w:t xml:space="preserve">Во исполнение пункта 2 постановления Правительства Российской Федерации от </w:t>
      </w:r>
      <w:r w:rsidR="00B56E8E" w:rsidRPr="00B56E8E">
        <w:rPr>
          <w:rFonts w:eastAsia="Calibri"/>
          <w:sz w:val="28"/>
          <w:szCs w:val="28"/>
        </w:rPr>
        <w:t>____</w:t>
      </w:r>
      <w:r w:rsidR="00D84532">
        <w:rPr>
          <w:rFonts w:eastAsia="Calibri"/>
          <w:sz w:val="28"/>
          <w:szCs w:val="28"/>
        </w:rPr>
        <w:t>___</w:t>
      </w:r>
      <w:r w:rsidRPr="00B56E8E">
        <w:rPr>
          <w:rFonts w:eastAsia="Calibri"/>
          <w:sz w:val="28"/>
          <w:szCs w:val="28"/>
        </w:rPr>
        <w:t xml:space="preserve"> 202</w:t>
      </w:r>
      <w:r w:rsidR="00D84532">
        <w:rPr>
          <w:rFonts w:eastAsia="Calibri"/>
          <w:sz w:val="28"/>
          <w:szCs w:val="28"/>
        </w:rPr>
        <w:t>1</w:t>
      </w:r>
      <w:r w:rsidRPr="00B56E8E">
        <w:rPr>
          <w:rFonts w:eastAsia="Calibri"/>
          <w:sz w:val="28"/>
          <w:szCs w:val="28"/>
        </w:rPr>
        <w:t xml:space="preserve"> г. </w:t>
      </w:r>
      <w:r w:rsidR="00FE0740" w:rsidRPr="00B56E8E">
        <w:rPr>
          <w:rFonts w:eastAsia="Calibri"/>
          <w:sz w:val="28"/>
          <w:szCs w:val="28"/>
        </w:rPr>
        <w:t xml:space="preserve">№ </w:t>
      </w:r>
      <w:r w:rsidR="00D84532">
        <w:rPr>
          <w:rFonts w:eastAsia="Calibri"/>
          <w:sz w:val="28"/>
          <w:szCs w:val="28"/>
        </w:rPr>
        <w:t>____</w:t>
      </w:r>
      <w:r w:rsidR="00FE0740" w:rsidRPr="00B56E8E">
        <w:rPr>
          <w:rFonts w:eastAsia="Calibri"/>
          <w:sz w:val="28"/>
          <w:szCs w:val="28"/>
        </w:rPr>
        <w:t xml:space="preserve"> </w:t>
      </w:r>
      <w:r w:rsidRPr="00B56E8E">
        <w:rPr>
          <w:rFonts w:eastAsia="Calibri"/>
          <w:sz w:val="28"/>
          <w:szCs w:val="28"/>
        </w:rPr>
        <w:t>«Об особенностях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D84532">
        <w:rPr>
          <w:rFonts w:eastAsia="Calibri"/>
          <w:sz w:val="28"/>
          <w:szCs w:val="28"/>
        </w:rPr>
        <w:t>1</w:t>
      </w:r>
      <w:r w:rsidRPr="00B56E8E">
        <w:rPr>
          <w:rFonts w:eastAsia="Calibri"/>
          <w:sz w:val="28"/>
          <w:szCs w:val="28"/>
        </w:rPr>
        <w:t xml:space="preserve"> году»</w:t>
      </w:r>
      <w:r>
        <w:rPr>
          <w:rFonts w:eastAsia="Calibri"/>
          <w:sz w:val="28"/>
          <w:szCs w:val="28"/>
        </w:rPr>
        <w:t xml:space="preserve"> и в соответствии с частью 5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№ 30, ст. 4134</w:t>
      </w:r>
      <w:r w:rsidRPr="008667EC">
        <w:rPr>
          <w:rFonts w:eastAsia="Calibri"/>
          <w:sz w:val="28"/>
          <w:szCs w:val="28"/>
        </w:rPr>
        <w:t xml:space="preserve">), </w:t>
      </w:r>
      <w:r w:rsidR="008667EC" w:rsidRPr="008667EC">
        <w:rPr>
          <w:rFonts w:eastAsia="Calibri"/>
          <w:sz w:val="28"/>
          <w:szCs w:val="28"/>
        </w:rPr>
        <w:t xml:space="preserve">пунктом 1 и </w:t>
      </w:r>
      <w:r w:rsidRPr="008667EC">
        <w:rPr>
          <w:rFonts w:eastAsia="Calibri"/>
          <w:sz w:val="28"/>
          <w:szCs w:val="28"/>
        </w:rPr>
        <w:t xml:space="preserve">подпунктами 4.2.25 и 4.2.26 </w:t>
      </w:r>
      <w:r w:rsidR="008667EC" w:rsidRPr="008667EC">
        <w:rPr>
          <w:rFonts w:eastAsia="Calibri"/>
          <w:sz w:val="28"/>
          <w:szCs w:val="28"/>
        </w:rPr>
        <w:t xml:space="preserve">пункта 4 </w:t>
      </w:r>
      <w:r w:rsidRPr="008667EC">
        <w:rPr>
          <w:rFonts w:eastAsia="Calibri"/>
          <w:sz w:val="28"/>
          <w:szCs w:val="28"/>
        </w:rPr>
        <w:t>Положения</w:t>
      </w:r>
      <w:r w:rsidR="009B458E" w:rsidRPr="008667EC">
        <w:rPr>
          <w:rFonts w:eastAsia="Calibri"/>
          <w:sz w:val="28"/>
          <w:szCs w:val="28"/>
        </w:rPr>
        <w:t xml:space="preserve"> </w:t>
      </w:r>
      <w:r w:rsidR="008667EC">
        <w:rPr>
          <w:rFonts w:eastAsia="Calibri"/>
          <w:sz w:val="28"/>
          <w:szCs w:val="28"/>
        </w:rPr>
        <w:br/>
      </w:r>
      <w:r w:rsidRPr="008667EC">
        <w:rPr>
          <w:rFonts w:eastAsia="Calibri"/>
          <w:sz w:val="28"/>
          <w:szCs w:val="28"/>
        </w:rPr>
        <w:t>о Министерстве</w:t>
      </w:r>
      <w:r>
        <w:rPr>
          <w:rFonts w:eastAsia="Calibri"/>
          <w:sz w:val="28"/>
          <w:szCs w:val="28"/>
        </w:rPr>
        <w:t xml:space="preserve"> просвещения Российской Федерации, утвержденного постановлением Правительства Российской Федерации от 28 июля 2018 г. № 884 </w:t>
      </w:r>
      <w:r>
        <w:rPr>
          <w:rFonts w:eastAsia="Calibri"/>
          <w:sz w:val="28"/>
          <w:szCs w:val="28"/>
        </w:rPr>
        <w:lastRenderedPageBreak/>
        <w:t xml:space="preserve">(Собрание законодательства Российской Федерации, 2018, № 32, ст. 5343; 2019,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№ 51, ст. 7631), </w:t>
      </w:r>
      <w:r w:rsidR="008667EC">
        <w:rPr>
          <w:rFonts w:eastAsia="Calibri"/>
          <w:sz w:val="28"/>
          <w:szCs w:val="28"/>
        </w:rPr>
        <w:t xml:space="preserve">пунктом 1 и </w:t>
      </w:r>
      <w:r>
        <w:rPr>
          <w:rFonts w:eastAsia="Calibri"/>
          <w:sz w:val="28"/>
          <w:szCs w:val="28"/>
        </w:rPr>
        <w:t xml:space="preserve">подпунктами 5.2.7 и 5.2.8 </w:t>
      </w:r>
      <w:r w:rsidR="008667EC">
        <w:rPr>
          <w:rFonts w:eastAsia="Calibri"/>
          <w:sz w:val="28"/>
          <w:szCs w:val="28"/>
        </w:rPr>
        <w:t xml:space="preserve">пункта 5 </w:t>
      </w:r>
      <w:r>
        <w:rPr>
          <w:rFonts w:eastAsia="Calibri"/>
          <w:sz w:val="28"/>
          <w:szCs w:val="28"/>
        </w:rPr>
        <w:t xml:space="preserve">Положения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</w:t>
      </w:r>
      <w:r w:rsidR="008667EC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№ 51, ст. 7643)</w:t>
      </w:r>
      <w:r w:rsidR="009B218A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п р и к а з ы в а е м:</w:t>
      </w:r>
    </w:p>
    <w:p w:rsidR="00622C1D" w:rsidRDefault="00622C1D" w:rsidP="00CC6513">
      <w:pPr>
        <w:widowControl w:val="0"/>
        <w:tabs>
          <w:tab w:val="left" w:pos="1134"/>
        </w:tabs>
        <w:autoSpaceDE w:val="0"/>
        <w:spacing w:line="276" w:lineRule="auto"/>
        <w:ind w:firstLine="709"/>
        <w:jc w:val="both"/>
      </w:pPr>
      <w:r>
        <w:rPr>
          <w:rFonts w:eastAsia="Calibri"/>
          <w:color w:val="000000"/>
          <w:sz w:val="28"/>
          <w:szCs w:val="28"/>
        </w:rPr>
        <w:t xml:space="preserve">Утвердить прилагаемые </w:t>
      </w:r>
      <w:r w:rsidR="008659E2">
        <w:rPr>
          <w:rFonts w:eastAsia="Calibri"/>
          <w:color w:val="000000"/>
          <w:sz w:val="28"/>
          <w:szCs w:val="28"/>
        </w:rPr>
        <w:t xml:space="preserve">особенности </w:t>
      </w:r>
      <w:r>
        <w:rPr>
          <w:rFonts w:eastAsia="Calibri"/>
          <w:color w:val="000000"/>
          <w:sz w:val="28"/>
          <w:szCs w:val="28"/>
        </w:rPr>
        <w:t xml:space="preserve">проведения государственной итоговой аттестации по образовательным программам основного общего образования </w:t>
      </w:r>
      <w:r w:rsidR="00CC6513">
        <w:rPr>
          <w:rFonts w:eastAsia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в 202</w:t>
      </w:r>
      <w:r w:rsidR="000D1D98">
        <w:rPr>
          <w:rFonts w:eastAsia="Calibri"/>
          <w:color w:val="000000"/>
          <w:sz w:val="28"/>
          <w:szCs w:val="28"/>
        </w:rPr>
        <w:t>1</w:t>
      </w:r>
      <w:r>
        <w:rPr>
          <w:rFonts w:eastAsia="Calibri"/>
          <w:color w:val="000000"/>
          <w:sz w:val="28"/>
          <w:szCs w:val="28"/>
        </w:rPr>
        <w:t xml:space="preserve"> году. </w:t>
      </w:r>
    </w:p>
    <w:p w:rsidR="00622C1D" w:rsidRDefault="00622C1D">
      <w:pPr>
        <w:widowControl w:val="0"/>
        <w:autoSpaceDE w:val="0"/>
        <w:spacing w:line="276" w:lineRule="auto"/>
        <w:ind w:left="709"/>
        <w:jc w:val="both"/>
        <w:rPr>
          <w:rFonts w:eastAsia="Calibri"/>
          <w:sz w:val="24"/>
          <w:szCs w:val="24"/>
        </w:rPr>
      </w:pPr>
    </w:p>
    <w:p w:rsidR="009D0D61" w:rsidRDefault="009D0D61">
      <w:pPr>
        <w:widowControl w:val="0"/>
        <w:autoSpaceDE w:val="0"/>
        <w:spacing w:line="276" w:lineRule="auto"/>
        <w:ind w:left="709"/>
        <w:jc w:val="both"/>
        <w:rPr>
          <w:rFonts w:eastAsia="Calibri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4252"/>
      </w:tblGrid>
      <w:tr w:rsidR="00622C1D" w:rsidTr="009D0D61">
        <w:tc>
          <w:tcPr>
            <w:tcW w:w="4219" w:type="dxa"/>
            <w:shd w:val="clear" w:color="auto" w:fill="auto"/>
          </w:tcPr>
          <w:p w:rsidR="00622C1D" w:rsidRDefault="00622C1D">
            <w:pPr>
              <w:tabs>
                <w:tab w:val="left" w:pos="7230"/>
              </w:tabs>
            </w:pPr>
            <w:r>
              <w:rPr>
                <w:sz w:val="28"/>
                <w:szCs w:val="28"/>
              </w:rPr>
              <w:t xml:space="preserve">Министр просвещения </w:t>
            </w:r>
          </w:p>
          <w:p w:rsidR="00622C1D" w:rsidRDefault="00622C1D">
            <w:pPr>
              <w:tabs>
                <w:tab w:val="left" w:pos="7230"/>
              </w:tabs>
            </w:pPr>
            <w:r>
              <w:rPr>
                <w:sz w:val="28"/>
                <w:szCs w:val="28"/>
              </w:rPr>
              <w:t>Российской Федерации</w:t>
            </w:r>
            <w:r>
              <w:t xml:space="preserve"> </w:t>
            </w:r>
          </w:p>
          <w:p w:rsidR="00622C1D" w:rsidRDefault="00622C1D">
            <w:pPr>
              <w:tabs>
                <w:tab w:val="left" w:pos="7230"/>
              </w:tabs>
            </w:pPr>
          </w:p>
          <w:p w:rsidR="00622C1D" w:rsidRDefault="00622C1D">
            <w:pPr>
              <w:tabs>
                <w:tab w:val="left" w:pos="7230"/>
              </w:tabs>
              <w:jc w:val="center"/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7115EE" w:rsidRPr="007115EE" w:rsidRDefault="007115EE" w:rsidP="009D0D61">
            <w:pPr>
              <w:tabs>
                <w:tab w:val="left" w:pos="7230"/>
              </w:tabs>
              <w:jc w:val="right"/>
              <w:rPr>
                <w:sz w:val="14"/>
                <w:szCs w:val="28"/>
              </w:rPr>
            </w:pPr>
          </w:p>
          <w:p w:rsidR="007115EE" w:rsidRDefault="007115EE" w:rsidP="009D0D61">
            <w:pPr>
              <w:tabs>
                <w:tab w:val="left" w:pos="7230"/>
              </w:tabs>
              <w:jc w:val="right"/>
              <w:rPr>
                <w:sz w:val="28"/>
                <w:szCs w:val="28"/>
              </w:rPr>
            </w:pPr>
          </w:p>
          <w:p w:rsidR="00622C1D" w:rsidRDefault="00622C1D" w:rsidP="009D0D61">
            <w:pPr>
              <w:tabs>
                <w:tab w:val="left" w:pos="7230"/>
              </w:tabs>
              <w:jc w:val="right"/>
            </w:pPr>
            <w:r>
              <w:rPr>
                <w:sz w:val="28"/>
                <w:szCs w:val="28"/>
              </w:rPr>
              <w:t xml:space="preserve">С.С. Кравцов </w:t>
            </w:r>
          </w:p>
        </w:tc>
        <w:tc>
          <w:tcPr>
            <w:tcW w:w="1843" w:type="dxa"/>
            <w:shd w:val="clear" w:color="auto" w:fill="auto"/>
          </w:tcPr>
          <w:p w:rsidR="00622C1D" w:rsidRDefault="00622C1D">
            <w:pPr>
              <w:widowControl w:val="0"/>
              <w:tabs>
                <w:tab w:val="left" w:pos="7230"/>
              </w:tabs>
              <w:autoSpaceDE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2C1D" w:rsidRDefault="0055571D">
            <w:pPr>
              <w:widowControl w:val="0"/>
              <w:tabs>
                <w:tab w:val="left" w:pos="7230"/>
              </w:tabs>
              <w:autoSpaceDE w:val="0"/>
            </w:pPr>
            <w:r>
              <w:rPr>
                <w:rFonts w:eastAsia="Calibri"/>
                <w:sz w:val="28"/>
                <w:szCs w:val="28"/>
              </w:rPr>
              <w:t>Р</w:t>
            </w:r>
            <w:r w:rsidR="00622C1D">
              <w:rPr>
                <w:rFonts w:eastAsia="Calibri"/>
                <w:sz w:val="28"/>
                <w:szCs w:val="28"/>
              </w:rPr>
              <w:t>уководител</w:t>
            </w:r>
            <w:r>
              <w:rPr>
                <w:rFonts w:eastAsia="Calibri"/>
                <w:sz w:val="28"/>
                <w:szCs w:val="28"/>
              </w:rPr>
              <w:t>ь</w:t>
            </w:r>
            <w:r w:rsidR="00622C1D">
              <w:rPr>
                <w:rFonts w:eastAsia="Calibri"/>
                <w:sz w:val="28"/>
                <w:szCs w:val="28"/>
              </w:rPr>
              <w:t xml:space="preserve"> </w:t>
            </w:r>
            <w:r w:rsidR="00622C1D">
              <w:rPr>
                <w:rFonts w:eastAsia="Calibri"/>
                <w:spacing w:val="-2"/>
                <w:sz w:val="28"/>
                <w:szCs w:val="28"/>
              </w:rPr>
              <w:t>Федеральной службы по надзору</w:t>
            </w:r>
            <w:r w:rsidR="00622C1D">
              <w:rPr>
                <w:rFonts w:eastAsia="Calibri"/>
                <w:sz w:val="28"/>
                <w:szCs w:val="28"/>
              </w:rPr>
              <w:br/>
              <w:t>в сфере образования и науки</w:t>
            </w:r>
          </w:p>
          <w:p w:rsidR="007115EE" w:rsidRDefault="007115EE">
            <w:pPr>
              <w:widowControl w:val="0"/>
              <w:tabs>
                <w:tab w:val="left" w:pos="7230"/>
              </w:tabs>
              <w:autoSpaceDE w:val="0"/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55571D" w:rsidRDefault="0055571D">
            <w:pPr>
              <w:widowControl w:val="0"/>
              <w:tabs>
                <w:tab w:val="left" w:pos="7230"/>
              </w:tabs>
              <w:autoSpaceDE w:val="0"/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622C1D" w:rsidRDefault="00622C1D">
            <w:pPr>
              <w:widowControl w:val="0"/>
              <w:tabs>
                <w:tab w:val="left" w:pos="7230"/>
              </w:tabs>
              <w:autoSpaceDE w:val="0"/>
              <w:jc w:val="right"/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А.А. Музаев </w:t>
            </w:r>
          </w:p>
        </w:tc>
      </w:tr>
    </w:tbl>
    <w:p w:rsidR="00622C1D" w:rsidRDefault="00622C1D" w:rsidP="009D0D61">
      <w:pPr>
        <w:autoSpaceDE w:val="0"/>
      </w:pPr>
    </w:p>
    <w:p w:rsidR="00802262" w:rsidRDefault="00802262" w:rsidP="009D0D61">
      <w:pPr>
        <w:autoSpaceDE w:val="0"/>
      </w:pPr>
    </w:p>
    <w:p w:rsidR="00802262" w:rsidRDefault="00802262" w:rsidP="009D0D61">
      <w:pPr>
        <w:autoSpaceDE w:val="0"/>
      </w:pPr>
    </w:p>
    <w:p w:rsidR="00802262" w:rsidRDefault="00802262" w:rsidP="009D0D61">
      <w:pPr>
        <w:autoSpaceDE w:val="0"/>
      </w:pPr>
    </w:p>
    <w:p w:rsidR="00802262" w:rsidRDefault="00802262" w:rsidP="00802262">
      <w:pPr>
        <w:spacing w:line="276" w:lineRule="auto"/>
        <w:ind w:left="5387"/>
        <w:jc w:val="right"/>
      </w:pPr>
      <w:r>
        <w:rPr>
          <w:sz w:val="28"/>
          <w:szCs w:val="28"/>
        </w:rPr>
        <w:t>Приложение</w:t>
      </w:r>
    </w:p>
    <w:p w:rsidR="00802262" w:rsidRDefault="00802262" w:rsidP="00802262">
      <w:pPr>
        <w:spacing w:line="276" w:lineRule="auto"/>
        <w:ind w:left="5387"/>
        <w:jc w:val="center"/>
        <w:rPr>
          <w:sz w:val="28"/>
          <w:szCs w:val="28"/>
        </w:rPr>
      </w:pPr>
    </w:p>
    <w:p w:rsidR="00802262" w:rsidRDefault="00802262" w:rsidP="00802262">
      <w:pPr>
        <w:ind w:left="5387"/>
        <w:jc w:val="center"/>
        <w:rPr>
          <w:rFonts w:eastAsia="Calibri"/>
          <w:sz w:val="24"/>
          <w:szCs w:val="24"/>
        </w:rPr>
      </w:pPr>
      <w:r>
        <w:rPr>
          <w:sz w:val="28"/>
          <w:szCs w:val="28"/>
        </w:rPr>
        <w:t>УТВЕРЖДЕНЫ</w:t>
      </w:r>
    </w:p>
    <w:p w:rsidR="00802262" w:rsidRDefault="00802262" w:rsidP="00802262">
      <w:pPr>
        <w:ind w:left="5387"/>
        <w:jc w:val="center"/>
      </w:pPr>
      <w:r>
        <w:rPr>
          <w:sz w:val="28"/>
          <w:szCs w:val="28"/>
        </w:rPr>
        <w:lastRenderedPageBreak/>
        <w:t>приказом Министерства просвещения</w:t>
      </w:r>
    </w:p>
    <w:p w:rsidR="00802262" w:rsidRDefault="00802262" w:rsidP="00802262">
      <w:pPr>
        <w:ind w:left="5387"/>
        <w:jc w:val="center"/>
      </w:pPr>
      <w:r>
        <w:rPr>
          <w:sz w:val="28"/>
          <w:szCs w:val="28"/>
        </w:rPr>
        <w:t>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br/>
        <w:t>от «___» ____________ 2021 г. № _____</w:t>
      </w:r>
    </w:p>
    <w:p w:rsidR="00802262" w:rsidRDefault="00802262" w:rsidP="0080226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02262" w:rsidRDefault="00802262" w:rsidP="00802262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802262" w:rsidRDefault="00802262" w:rsidP="00802262">
      <w:pPr>
        <w:autoSpaceDN w:val="0"/>
        <w:jc w:val="center"/>
      </w:pPr>
      <w:r>
        <w:rPr>
          <w:b/>
          <w:color w:val="000000"/>
          <w:sz w:val="28"/>
          <w:szCs w:val="28"/>
          <w:lang w:eastAsia="ru-RU"/>
        </w:rPr>
        <w:t xml:space="preserve">Особенности проведения государственной итоговой аттестации </w:t>
      </w:r>
    </w:p>
    <w:p w:rsidR="00802262" w:rsidRDefault="00802262" w:rsidP="00802262">
      <w:pPr>
        <w:autoSpaceDN w:val="0"/>
        <w:jc w:val="center"/>
      </w:pPr>
      <w:r>
        <w:rPr>
          <w:b/>
          <w:color w:val="000000"/>
          <w:sz w:val="28"/>
          <w:szCs w:val="28"/>
          <w:lang w:eastAsia="ru-RU"/>
        </w:rPr>
        <w:t>по образовательным программам основного общего образования в 2021 году</w:t>
      </w:r>
    </w:p>
    <w:p w:rsidR="00802262" w:rsidRDefault="00802262" w:rsidP="00802262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 w:rsidR="00802262" w:rsidRDefault="00802262" w:rsidP="00802262">
      <w:pPr>
        <w:numPr>
          <w:ilvl w:val="0"/>
          <w:numId w:val="3"/>
        </w:numPr>
        <w:suppressAutoHyphens w:val="0"/>
        <w:autoSpaceDN w:val="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Порядок проведения государственной итоговой аттестации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</w:t>
      </w:r>
      <w:r>
        <w:rPr>
          <w:sz w:val="28"/>
          <w:szCs w:val="28"/>
        </w:rPr>
        <w:br/>
        <w:t xml:space="preserve">10 декабря 2018 г., регистрационный № </w:t>
      </w:r>
      <w:r>
        <w:rPr>
          <w:color w:val="333333"/>
          <w:sz w:val="28"/>
          <w:szCs w:val="28"/>
          <w:shd w:val="clear" w:color="auto" w:fill="FFFFFF"/>
        </w:rPr>
        <w:t>52953</w:t>
      </w:r>
      <w:r>
        <w:rPr>
          <w:sz w:val="28"/>
          <w:szCs w:val="28"/>
        </w:rPr>
        <w:t xml:space="preserve">) (далее – Порядок), </w:t>
      </w:r>
      <w:r>
        <w:rPr>
          <w:sz w:val="28"/>
          <w:szCs w:val="28"/>
        </w:rPr>
        <w:br/>
        <w:t>не применяется в части: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 проведения государственной итоговой аттестации по образовательным программам основного общего образования (далее – ГИА);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sz w:val="28"/>
          <w:szCs w:val="28"/>
        </w:rPr>
        <w:t>количества и перечня учебных предметов, по которым проводится ГИА;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>выбора участниками ГИА сроков сдачи ГИА по соответствующим учебным предметам;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>установления периодов проведения ГИА;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условий повторного допуска участников ГИА к сдаче экзаменов </w:t>
      </w:r>
      <w:r>
        <w:rPr>
          <w:sz w:val="28"/>
          <w:szCs w:val="28"/>
        </w:rPr>
        <w:br/>
        <w:t>по соответствующим учебным предметам;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требований к местам расположения пунктов проведения экзаменов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(далее – ППЭ), их количеству и распределению между ними участников ГИА;</w:t>
      </w:r>
    </w:p>
    <w:p w:rsidR="00802262" w:rsidRDefault="00802262" w:rsidP="00802262">
      <w:pPr>
        <w:tabs>
          <w:tab w:val="left" w:pos="0"/>
        </w:tabs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требований к распределению организаторов ППЭ в аудиториях проведения экзаменов. 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>2. Г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ИА проводится в формах основного государственного экзамена </w:t>
      </w:r>
      <w:r>
        <w:rPr>
          <w:color w:val="000000"/>
          <w:sz w:val="28"/>
          <w:szCs w:val="28"/>
          <w:shd w:val="clear" w:color="auto" w:fill="FFFFFF"/>
          <w:lang w:eastAsia="ru-RU"/>
        </w:rPr>
        <w:br/>
        <w:t xml:space="preserve">и государственного выпускного экзамена по русскому языку и математике </w:t>
      </w:r>
      <w:r>
        <w:rPr>
          <w:color w:val="000000"/>
          <w:sz w:val="28"/>
          <w:szCs w:val="28"/>
          <w:shd w:val="clear" w:color="auto" w:fill="FFFFFF"/>
          <w:lang w:eastAsia="ru-RU"/>
        </w:rPr>
        <w:br/>
        <w:t xml:space="preserve">(далее – обязательные учебные предметы). 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Для участников ГИА с ограниченными возможностями здоровья, участников ГИА – детей-инвалидов и инвалидов ГИА по их желанию проводится только </w:t>
      </w:r>
      <w:r>
        <w:rPr>
          <w:sz w:val="28"/>
          <w:szCs w:val="28"/>
        </w:rPr>
        <w:br/>
        <w:t>по одному обязательному учебному предмету по их выбору (далее – участники ГИА, проходящие ГИА только по одному обязательному учебному предмету).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3. ГИА по физике, химии, биологии, литературе, географии, истории, обществознанию, иностранным языкам (английскому, французскому, немецкому </w:t>
      </w:r>
      <w:r>
        <w:rPr>
          <w:sz w:val="28"/>
          <w:szCs w:val="28"/>
        </w:rPr>
        <w:br/>
        <w:t>и испанскому), информатике и информационно-коммуникационным технологиям (ИКТ), родному языку из числа языков народов Российской Федерации, лите</w:t>
      </w:r>
      <w:r>
        <w:rPr>
          <w:sz w:val="28"/>
          <w:szCs w:val="28"/>
        </w:rPr>
        <w:lastRenderedPageBreak/>
        <w:t xml:space="preserve">ратуре народов России на родном языке из числа языков народов Российской Федерации </w:t>
      </w:r>
      <w:r>
        <w:rPr>
          <w:sz w:val="28"/>
          <w:szCs w:val="28"/>
        </w:rPr>
        <w:br/>
        <w:t>в 2021 году не проводится.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>4. Участники ГИА, перечисленные в подпункте «б» пункта 6 Порядка, вправе изменить форму ГИА,</w:t>
      </w:r>
      <w:r>
        <w:t xml:space="preserve"> </w:t>
      </w:r>
      <w:r>
        <w:rPr>
          <w:sz w:val="28"/>
          <w:szCs w:val="28"/>
        </w:rPr>
        <w:t xml:space="preserve">указанную ими в заявлениях, поданных в соответствии </w:t>
      </w:r>
      <w:r>
        <w:rPr>
          <w:sz w:val="28"/>
          <w:szCs w:val="28"/>
        </w:rPr>
        <w:br/>
        <w:t xml:space="preserve">с пунктами 12 и 13 Порядка, при наличии у них уважительных причин (болезни или иных обстоятельств), подтвержденных документально. 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В этом случае указанные участники ГИА подают заявления </w:t>
      </w:r>
      <w:r>
        <w:rPr>
          <w:sz w:val="28"/>
          <w:szCs w:val="28"/>
        </w:rPr>
        <w:br/>
        <w:t>в государственную экзаменационную комиссию (далее – ГЭК) с указанием измененной формы ГИА не позднее чем за две недели до даты соответствующего экзамена.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5. По решению органов исполнительной власти субъектов Российской Федерации, осуществляющих государственное управление в сфере образования (далее – ОИВ), учредителей образовательных организаций, расположенных </w:t>
      </w:r>
      <w:r>
        <w:rPr>
          <w:sz w:val="28"/>
          <w:szCs w:val="28"/>
        </w:rPr>
        <w:br/>
        <w:t xml:space="preserve">за пределами территории Российской Федерации и реализующих имеющие государственную аккредитацию </w:t>
      </w:r>
      <w:r>
        <w:rPr>
          <w:sz w:val="28"/>
          <w:szCs w:val="28"/>
        </w:rPr>
        <w:lastRenderedPageBreak/>
        <w:t xml:space="preserve">образовательные программы основного общего образования (далее – учредители), Министерства иностранных дел Российской Федерации и дипломатических представительств и консульских учреждений Российской Федерации, представительств Российской Федерации </w:t>
      </w:r>
      <w:r>
        <w:rPr>
          <w:sz w:val="28"/>
          <w:szCs w:val="28"/>
        </w:rPr>
        <w:br/>
        <w:t>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(далее – загранучреждения), подача заявлений об участии в ГИА, указанных в пункте 4 настоящих Особенностей, организуется с использованием информационно-коммуникационных технологий при условии соблюдения требований законодательства Российской Федерации в области защиты персональных данных</w:t>
      </w:r>
      <w:r>
        <w:rPr>
          <w:rStyle w:val="af1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Для проведения ГИА на территории Российской Федерации и за ее пределами устанавливаются сроки и продолжительность проведения экзаменов по </w:t>
      </w:r>
      <w:r>
        <w:rPr>
          <w:sz w:val="28"/>
          <w:szCs w:val="28"/>
        </w:rPr>
        <w:lastRenderedPageBreak/>
        <w:t>каждому учебному предмету (далее – единое расписание ГИА).</w:t>
      </w:r>
    </w:p>
    <w:p w:rsidR="00802262" w:rsidRDefault="00802262" w:rsidP="00802262">
      <w:pPr>
        <w:suppressAutoHyphens w:val="0"/>
        <w:autoSpaceDN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ГИА проводится в основной период проведения экзаменов (далее – основной период), резервные сроки основного периода, дополнительные резервные сроки основного периода, дополнительный период проведения экзаменов (далее – дополнительный период) и резервные сроки дополнительного периода.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В случае установления в едином расписании ГИА двух дат проведения </w:t>
      </w:r>
      <w:r>
        <w:rPr>
          <w:sz w:val="28"/>
          <w:szCs w:val="28"/>
        </w:rPr>
        <w:br/>
        <w:t xml:space="preserve">ГИА по одному учебному предмету в рамках основного периода </w:t>
      </w:r>
      <w:r>
        <w:rPr>
          <w:sz w:val="28"/>
          <w:szCs w:val="28"/>
        </w:rPr>
        <w:br/>
        <w:t>ГЭК самостоятельно распределяет участников ГИА на указанные даты проведения ГИА, исходя из вместимости аудиторного фонда, с соблюдением требований санитарного законодательства Российской Федерации</w:t>
      </w:r>
      <w:r>
        <w:rPr>
          <w:rStyle w:val="af1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7. По решению председателя ГЭК повторно допускаются к сдаче </w:t>
      </w:r>
      <w:r>
        <w:rPr>
          <w:sz w:val="28"/>
          <w:szCs w:val="28"/>
        </w:rPr>
        <w:br/>
        <w:t>ГИА по соответствующему учебному предмету (соответствующим учебным предметам) в резервные сроки основного периода: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принявшие участие в ГИА в основной период, но получившие на ГИА неудовлетворительный результат по одному из обязательных учебных предметов;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проходящие ГИА только по одному обязательному учебному предмету, принявшие участие в ГИА в основной период, но получившие </w:t>
      </w:r>
      <w:r>
        <w:rPr>
          <w:sz w:val="28"/>
          <w:szCs w:val="28"/>
        </w:rPr>
        <w:br/>
        <w:t>по указанному учебному предмету неудовлетворительный результат;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не явившиеся на экзамен (экзамены) в основной период </w:t>
      </w:r>
      <w:r>
        <w:rPr>
          <w:sz w:val="28"/>
          <w:szCs w:val="28"/>
        </w:rPr>
        <w:br/>
        <w:t>по уважительным причинам (болезнь или иные обстоятельства), подтвержденным документально;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принявшие участие в ГИА по соответствующему учебному предмету в основной период, но не завершившие выполнение </w:t>
      </w:r>
      <w:r>
        <w:rPr>
          <w:sz w:val="28"/>
          <w:szCs w:val="28"/>
        </w:rPr>
        <w:lastRenderedPageBreak/>
        <w:t>экзаменационной работы по уважительным причинам (болезнь или иные обстоятельства), подтвержденным документально;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принявшие участие в ГИА по соответствующему учебному предмету в основной период, апелляции которых о нарушении Порядка конфликтной комиссией были удовлетворены;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принявшие участие в ГИА по соответствующему учебному предмету в основной период, чьи результаты были аннулированы по решению председателя ГЭК в случае выявления фактов нарушений Порядка, совершенных лицами, указанными в пунктах 49 и 50 Порядка, или иными (в том числе неустановленными) лицами.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8. В дополнительные резервные сроки основного периода к сдаче ГИА </w:t>
      </w:r>
      <w:r>
        <w:rPr>
          <w:sz w:val="28"/>
          <w:szCs w:val="28"/>
        </w:rPr>
        <w:br/>
        <w:t>по соответствующему учебному предмету (соответствующим учебным предметам) по решению председателя ГЭК допускаются: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не явившиеся на экзамен (экзамены) в основной период </w:t>
      </w:r>
      <w:r>
        <w:rPr>
          <w:sz w:val="28"/>
          <w:szCs w:val="28"/>
        </w:rPr>
        <w:br/>
        <w:t xml:space="preserve">и (или) резервные сроки основного периода по </w:t>
      </w:r>
      <w:r>
        <w:rPr>
          <w:sz w:val="28"/>
          <w:szCs w:val="28"/>
        </w:rPr>
        <w:lastRenderedPageBreak/>
        <w:t>уважительным причинам (болезнь или иные обстоятельства), подтвержденным документально;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впервые принявшие участие в ГИА в резервные сроки основного периода, но получившие на ГИА неудовлетворительный результат </w:t>
      </w:r>
      <w:r>
        <w:rPr>
          <w:sz w:val="28"/>
          <w:szCs w:val="28"/>
        </w:rPr>
        <w:br/>
        <w:t>по одному из обязательных учебных предметов;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проходящие ГИА только по одному обязательному учебному предмету, впервые принявшие участие в ГИА в резервные сроки основного периода,  но получившие по указанному учебному предмету неудовлетворительный результат;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участники ГИА, впервые принявшие участие в ГИА в резервные сроки основного периода и повторно допущенные по решению председателя ГЭК к сдаче экзамена по соответствующему учебному предмету по причинам, указанным </w:t>
      </w:r>
      <w:r>
        <w:rPr>
          <w:sz w:val="28"/>
          <w:szCs w:val="28"/>
        </w:rPr>
        <w:br/>
        <w:t>в абзацах пятом-седьмом пункта 7 настоящих Особенностей.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9. В дополнительный период к сдаче ГИА по соответствующему учебному предмету (соответствующим учебным предметам) по решению председателя ГЭК допускаются: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участники ГИА, не прошедшие ГИА по обязательным учебным предметам </w:t>
      </w:r>
      <w:r>
        <w:rPr>
          <w:sz w:val="28"/>
          <w:szCs w:val="28"/>
        </w:rPr>
        <w:br/>
        <w:t xml:space="preserve">или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учебных предметов </w:t>
      </w:r>
      <w:r>
        <w:rPr>
          <w:sz w:val="28"/>
          <w:szCs w:val="28"/>
        </w:rPr>
        <w:br/>
        <w:t>на ГИА в резервные сроки основного периода (дополнительные резервные сроки основного периода);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участники ГИА, проходящие ГИА только по одному обязательному учебному предмету, не прошедшие ГИА или получившие повторно неудовлетворительный результат по обязательному учебному предмету в резервные сроки основного периода (дополнительные резервные сроки основного периода).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10. В резервные сроки дополнительного периода к сдаче ГИА </w:t>
      </w:r>
      <w:r>
        <w:rPr>
          <w:sz w:val="28"/>
          <w:szCs w:val="28"/>
        </w:rPr>
        <w:br/>
        <w:t xml:space="preserve">по соответствующему учебному предмету (соответствующим учебным предметам) по решению председателя ГЭК допускаются участники ГИА, </w:t>
      </w:r>
      <w:r>
        <w:rPr>
          <w:sz w:val="28"/>
          <w:szCs w:val="28"/>
        </w:rPr>
        <w:lastRenderedPageBreak/>
        <w:t xml:space="preserve">принявшие участие </w:t>
      </w:r>
      <w:r>
        <w:rPr>
          <w:sz w:val="28"/>
          <w:szCs w:val="28"/>
        </w:rPr>
        <w:br/>
        <w:t>в ГИА в дополнительный период и повторно допущенные по решению председателя ГЭК к сдаче экзамена по соответствующему учебному предмету по причинам, указанным в абзацах втором-седьмом пункта 7 настоящих Особенностей.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11. Количество и места расположения ППЭ определяются исходя </w:t>
      </w:r>
      <w:r>
        <w:rPr>
          <w:sz w:val="28"/>
          <w:szCs w:val="28"/>
        </w:rPr>
        <w:br/>
        <w:t xml:space="preserve">из санитарно-эпидемиологической обстановки и особенностей распространения новой коронавирусной инфекции </w:t>
      </w:r>
      <w:r>
        <w:rPr>
          <w:color w:val="000000"/>
          <w:sz w:val="28"/>
          <w:szCs w:val="28"/>
          <w:shd w:val="clear" w:color="auto" w:fill="FFFFFF"/>
          <w:lang w:eastAsia="ru-RU"/>
        </w:rPr>
        <w:t>(COVID-19)</w:t>
      </w:r>
      <w:r>
        <w:rPr>
          <w:sz w:val="28"/>
          <w:szCs w:val="28"/>
        </w:rPr>
        <w:t>, общей численности участников ГИА на территории субъекта Российской Федерации, территориальной доступности и вместимости аудиторного фонда с соблюдением санитарного законодательства Российской Федерации</w:t>
      </w:r>
      <w:r>
        <w:rPr>
          <w:rStyle w:val="af1"/>
          <w:sz w:val="28"/>
          <w:szCs w:val="28"/>
        </w:rPr>
        <w:footnoteReference w:id="3"/>
      </w:r>
      <w:r>
        <w:rPr>
          <w:sz w:val="28"/>
          <w:szCs w:val="28"/>
        </w:rPr>
        <w:t>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12. В случае угрозы возникновения чрезвычайной ситуации ОИВ, учредители, загранучреждения по согласованию с ГЭК принимают решение о переносе проведения экзамена в другой </w:t>
      </w:r>
      <w:r>
        <w:rPr>
          <w:sz w:val="28"/>
          <w:szCs w:val="28"/>
        </w:rPr>
        <w:lastRenderedPageBreak/>
        <w:t>ППЭ или на другой день, предусмотренный единым расписанием ГИА.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13. При проведении экзамена по учебному предмету в состав организаторов </w:t>
      </w:r>
      <w:r>
        <w:rPr>
          <w:sz w:val="28"/>
          <w:szCs w:val="28"/>
        </w:rPr>
        <w:br/>
        <w:t>и ассистентов не входят специалисты по данному учебному предмету. Допускается привлекать в качестве руководителей ППЭ, технических специалистов, а также ассистентов работников организаций, осуществляющих образовательную деятельность, являющихся учителями обучающихся, сдающих экзамен в данном ППЭ.</w:t>
      </w:r>
    </w:p>
    <w:p w:rsidR="00802262" w:rsidRDefault="00802262" w:rsidP="00802262">
      <w:pPr>
        <w:spacing w:line="360" w:lineRule="auto"/>
        <w:ind w:firstLine="709"/>
        <w:jc w:val="both"/>
      </w:pPr>
      <w:r>
        <w:rPr>
          <w:sz w:val="28"/>
          <w:szCs w:val="28"/>
        </w:rPr>
        <w:t>14. Организаторы распределяются по аудиториям проведения экзаменов исходя из того, что в каждой аудитории присутствует не менее двух организаторов. В случае невозможности обеспечить присутствие во всех аудиториях проведения экзаменов двух организаторов по решению ГЭК в аудитории может присутствовать один организатор.</w:t>
      </w:r>
    </w:p>
    <w:p w:rsidR="00802262" w:rsidRDefault="00802262" w:rsidP="009D0D61">
      <w:pPr>
        <w:autoSpaceDE w:val="0"/>
      </w:pPr>
    </w:p>
    <w:sectPr w:rsidR="00802262" w:rsidSect="009D0D61">
      <w:pgSz w:w="11906" w:h="16838" w:code="9"/>
      <w:pgMar w:top="1134" w:right="567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3C8" w:rsidRDefault="009003C8">
      <w:r>
        <w:separator/>
      </w:r>
    </w:p>
  </w:endnote>
  <w:endnote w:type="continuationSeparator" w:id="0">
    <w:p w:rsidR="009003C8" w:rsidRDefault="0090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3C8" w:rsidRDefault="009003C8">
      <w:r>
        <w:separator/>
      </w:r>
    </w:p>
  </w:footnote>
  <w:footnote w:type="continuationSeparator" w:id="0">
    <w:p w:rsidR="009003C8" w:rsidRDefault="009003C8">
      <w:r>
        <w:continuationSeparator/>
      </w:r>
    </w:p>
  </w:footnote>
  <w:footnote w:id="1">
    <w:p w:rsidR="00802262" w:rsidRDefault="00802262" w:rsidP="00802262">
      <w:pPr>
        <w:jc w:val="both"/>
        <w:rPr>
          <w:lang w:eastAsia="en-US"/>
        </w:rPr>
      </w:pPr>
      <w:r>
        <w:rPr>
          <w:rStyle w:val="af1"/>
        </w:rPr>
        <w:footnoteRef/>
      </w:r>
      <w:r>
        <w:t xml:space="preserve"> </w:t>
      </w:r>
      <w:r>
        <w:rPr>
          <w:lang w:eastAsia="en-US"/>
        </w:rPr>
        <w:t xml:space="preserve">Федеральный закон от 27 июля 2006 г. № 152 «О персональных данных» (Собрание законодательства Российской Федерации, 2006, № 31, ст. 3451; 2021, № 1, ст. 54). </w:t>
      </w:r>
    </w:p>
    <w:p w:rsidR="00802262" w:rsidRDefault="00802262" w:rsidP="00802262">
      <w:pPr>
        <w:pStyle w:val="af"/>
      </w:pPr>
    </w:p>
  </w:footnote>
  <w:footnote w:id="2">
    <w:p w:rsidR="00802262" w:rsidRDefault="00802262" w:rsidP="00802262">
      <w:pPr>
        <w:jc w:val="both"/>
        <w:rPr>
          <w:rFonts w:ascii="Calibri" w:hAnsi="Calibri"/>
          <w:lang w:eastAsia="en-US"/>
        </w:rPr>
      </w:pPr>
      <w:r>
        <w:rPr>
          <w:rStyle w:val="af1"/>
        </w:rPr>
        <w:footnoteRef/>
      </w:r>
      <w:r>
        <w:t xml:space="preserve"> </w:t>
      </w:r>
      <w:r>
        <w:rPr>
          <w:lang w:eastAsia="en-US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(зарегистрированы Министерством юстиции Российской Федерации 18 декабря 2020 г., регистрационный  №  61573)  (далее – СП 2.4.3648-20).</w:t>
      </w:r>
    </w:p>
    <w:p w:rsidR="00802262" w:rsidRDefault="00802262" w:rsidP="00802262">
      <w:pPr>
        <w:pStyle w:val="af"/>
      </w:pPr>
    </w:p>
  </w:footnote>
  <w:footnote w:id="3">
    <w:p w:rsidR="00802262" w:rsidRDefault="00802262" w:rsidP="00802262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lang w:eastAsia="en-US"/>
        </w:rPr>
        <w:t>СП 2.4.3648-20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E2"/>
    <w:rsid w:val="00047D2F"/>
    <w:rsid w:val="000B229E"/>
    <w:rsid w:val="000B32F1"/>
    <w:rsid w:val="000D1D98"/>
    <w:rsid w:val="001276F3"/>
    <w:rsid w:val="00276E3E"/>
    <w:rsid w:val="002C54B2"/>
    <w:rsid w:val="004B433C"/>
    <w:rsid w:val="0055571D"/>
    <w:rsid w:val="00560082"/>
    <w:rsid w:val="005841B5"/>
    <w:rsid w:val="00622C1D"/>
    <w:rsid w:val="006535FB"/>
    <w:rsid w:val="007115EE"/>
    <w:rsid w:val="0073426F"/>
    <w:rsid w:val="00774C00"/>
    <w:rsid w:val="007F6C2F"/>
    <w:rsid w:val="00802262"/>
    <w:rsid w:val="008659E2"/>
    <w:rsid w:val="00866329"/>
    <w:rsid w:val="008667EC"/>
    <w:rsid w:val="009003C8"/>
    <w:rsid w:val="00982CE1"/>
    <w:rsid w:val="009B218A"/>
    <w:rsid w:val="009B458E"/>
    <w:rsid w:val="009D0D61"/>
    <w:rsid w:val="00B53F66"/>
    <w:rsid w:val="00B5673B"/>
    <w:rsid w:val="00B56E8E"/>
    <w:rsid w:val="00C0776D"/>
    <w:rsid w:val="00CC6513"/>
    <w:rsid w:val="00D84532"/>
    <w:rsid w:val="00DB553C"/>
    <w:rsid w:val="00F0148C"/>
    <w:rsid w:val="00F56268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ACDBC05-C2B4-4877-A992-29EF4684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  <w:uiPriority w:val="99"/>
  </w:style>
  <w:style w:type="paragraph" w:styleId="a5">
    <w:name w:val="Title"/>
    <w:basedOn w:val="a"/>
    <w:next w:val="a6"/>
    <w:pPr>
      <w:jc w:val="center"/>
    </w:pPr>
    <w:rPr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6C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F6C2F"/>
    <w:rPr>
      <w:rFonts w:ascii="Tahoma" w:hAnsi="Tahoma" w:cs="Tahoma"/>
      <w:sz w:val="16"/>
      <w:szCs w:val="16"/>
      <w:lang w:eastAsia="zh-CN"/>
    </w:rPr>
  </w:style>
  <w:style w:type="paragraph" w:styleId="af">
    <w:name w:val="footnote text"/>
    <w:basedOn w:val="a"/>
    <w:link w:val="af0"/>
    <w:semiHidden/>
    <w:unhideWhenUsed/>
    <w:rsid w:val="00802262"/>
    <w:pPr>
      <w:widowControl w:val="0"/>
      <w:autoSpaceDE w:val="0"/>
    </w:pPr>
    <w:rPr>
      <w:rFonts w:eastAsia="Calibri"/>
    </w:rPr>
  </w:style>
  <w:style w:type="character" w:customStyle="1" w:styleId="af0">
    <w:name w:val="Текст сноски Знак"/>
    <w:link w:val="af"/>
    <w:semiHidden/>
    <w:rsid w:val="00802262"/>
    <w:rPr>
      <w:rFonts w:eastAsia="Calibri"/>
      <w:lang w:eastAsia="zh-CN"/>
    </w:rPr>
  </w:style>
  <w:style w:type="paragraph" w:customStyle="1" w:styleId="ConsPlusTitle">
    <w:name w:val="ConsPlusTitle"/>
    <w:rsid w:val="0080226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character" w:styleId="af1">
    <w:name w:val="footnote reference"/>
    <w:uiPriority w:val="99"/>
    <w:semiHidden/>
    <w:unhideWhenUsed/>
    <w:rsid w:val="008022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218-2</cp:lastModifiedBy>
  <cp:revision>2</cp:revision>
  <cp:lastPrinted>2020-06-11T09:19:00Z</cp:lastPrinted>
  <dcterms:created xsi:type="dcterms:W3CDTF">2021-03-16T10:33:00Z</dcterms:created>
  <dcterms:modified xsi:type="dcterms:W3CDTF">2021-03-16T10:33:00Z</dcterms:modified>
</cp:coreProperties>
</file>